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E2" w:rsidRDefault="000A65E2" w:rsidP="000A65E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jc w:val="center"/>
        <w:rPr>
          <w:b/>
          <w:sz w:val="26"/>
          <w:szCs w:val="26"/>
        </w:rPr>
      </w:pPr>
    </w:p>
    <w:p w:rsidR="000A65E2" w:rsidRDefault="000A65E2" w:rsidP="000A65E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jc w:val="center"/>
        <w:rPr>
          <w:b/>
          <w:sz w:val="26"/>
          <w:szCs w:val="26"/>
        </w:rPr>
      </w:pPr>
    </w:p>
    <w:p w:rsidR="000A65E2" w:rsidRDefault="0049483A" w:rsidP="000A65E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Declaración institucional</w:t>
      </w:r>
      <w:r w:rsidR="000A65E2">
        <w:rPr>
          <w:b/>
          <w:sz w:val="26"/>
          <w:szCs w:val="26"/>
        </w:rPr>
        <w:t xml:space="preserve"> de apoio e compromiso </w:t>
      </w:r>
    </w:p>
    <w:p w:rsidR="000A65E2" w:rsidRDefault="000A65E2" w:rsidP="000A65E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jc w:val="center"/>
      </w:pPr>
      <w:r>
        <w:rPr>
          <w:b/>
          <w:sz w:val="26"/>
          <w:szCs w:val="26"/>
        </w:rPr>
        <w:t>coa Economía Social de Galicia</w:t>
      </w:r>
    </w:p>
    <w:p w:rsidR="000A65E2" w:rsidRDefault="000A65E2" w:rsidP="000A65E2">
      <w:pPr>
        <w:jc w:val="both"/>
        <w:rPr>
          <w:b/>
          <w:sz w:val="26"/>
          <w:szCs w:val="26"/>
        </w:rPr>
      </w:pPr>
    </w:p>
    <w:p w:rsidR="000A65E2" w:rsidRDefault="000A65E2" w:rsidP="000A65E2">
      <w:pPr>
        <w:jc w:val="both"/>
      </w:pPr>
      <w:r>
        <w:tab/>
        <w:t>A Economía Social é un sector económico e un actor fundamental na sociedade actual. A través dunha ampla e rica variedade de formas organizativas, a economía social  introduce un conxunto de principios, valores e obxectivos comúns, sentando a base dun modelo económico inclusivo.</w:t>
      </w:r>
    </w:p>
    <w:p w:rsidR="000A65E2" w:rsidRDefault="000A65E2" w:rsidP="000A65E2">
      <w:pPr>
        <w:jc w:val="both"/>
      </w:pPr>
      <w:r>
        <w:tab/>
        <w:t xml:space="preserve">Entre estes valores, salientan a primacía da persoa e do obxecto social, a gobernanza democrática e participativa, a conxunción dos intereses das persoas usuarias e do interese xeral, e a defensa e aplicación dos principios de solidariedade e responsabilidade. Estes valores permiten combinar actividades económicas sostibles cun impacto social positivo, axustando a un tempo os bens e servizos ás necesidades das persoas. </w:t>
      </w:r>
    </w:p>
    <w:p w:rsidR="000A65E2" w:rsidRDefault="000A65E2" w:rsidP="000A65E2">
      <w:pPr>
        <w:jc w:val="both"/>
      </w:pPr>
      <w:r>
        <w:tab/>
        <w:t>A economía social xera o 8% do PIB europeo, con máis de 13,6 millóns de empregos remunerados a través de máis de 2,8 millóns de empresas e entidades en Europa</w:t>
      </w:r>
      <w:r>
        <w:rPr>
          <w:rStyle w:val="Caracteresdenotaalpie"/>
        </w:rPr>
        <w:footnoteReference w:id="1"/>
      </w:r>
      <w:r>
        <w:t>. En España</w:t>
      </w:r>
      <w:r>
        <w:rPr>
          <w:rStyle w:val="Caracteresdenotaalpie"/>
        </w:rPr>
        <w:footnoteReference w:id="2"/>
      </w:r>
      <w:r>
        <w:t xml:space="preserve"> a economía social produce o 10% do PIB, proporciona o 12,5% do emprego e vincula ó 42,8% da poboación. O mapa da economía social en Galicia</w:t>
      </w:r>
      <w:r>
        <w:rPr>
          <w:rStyle w:val="Caracteresdenotaalpie"/>
        </w:rPr>
        <w:footnoteReference w:id="3"/>
      </w:r>
      <w:r>
        <w:t xml:space="preserve"> está formado por máis de 7.300 entidades e empresas, cun volume de emprego estimado de 24.904 persoas traballadoras e máis de 74.120 persoas socias, comuneiras ou mutualistas (segundo o tipo de entidade), xerando ao redor do 7% do PIB. </w:t>
      </w:r>
    </w:p>
    <w:p w:rsidR="000A65E2" w:rsidRDefault="000A65E2" w:rsidP="000A65E2">
      <w:pPr>
        <w:jc w:val="both"/>
      </w:pPr>
      <w:r>
        <w:tab/>
        <w:t>Fronte á necesidade de buscar alternativas que dean resposta ás problemáticas socioeconómicas e medioambientais actuais, a economía social intensifica a súa visibilidade como un alicerce en termos de</w:t>
      </w:r>
      <w:r>
        <w:rPr>
          <w:b/>
        </w:rPr>
        <w:t xml:space="preserve"> emprego</w:t>
      </w:r>
      <w:r>
        <w:t xml:space="preserve">, promovendo un emprego estable e de calidade; pioneiro en </w:t>
      </w:r>
      <w:r>
        <w:rPr>
          <w:b/>
        </w:rPr>
        <w:t>innovación social</w:t>
      </w:r>
      <w:r>
        <w:t xml:space="preserve">, ofrecendo solucións a retos económicos e sociais, dixitais, enerxéticos ou demográficos; como un axente de fixación da poboación en zonas que padecen despoboamento; e contribuíndo activamente á </w:t>
      </w:r>
      <w:r>
        <w:rPr>
          <w:b/>
        </w:rPr>
        <w:t xml:space="preserve">cohesión social </w:t>
      </w:r>
      <w:r>
        <w:t>ó impulsar a inclusión social e un modelo de igualdade de oportunidades para todas as persoas.</w:t>
      </w:r>
    </w:p>
    <w:p w:rsidR="000A65E2" w:rsidRDefault="000A65E2" w:rsidP="000A65E2">
      <w:pPr>
        <w:jc w:val="both"/>
      </w:pPr>
      <w:r>
        <w:tab/>
        <w:t>A economía social comparte os valores e principios reitores dos Obxectivos de Desenvolvemento Sostible da Axenda 2030 de Nacións Unidas, en particular os obxectivos 8, “</w:t>
      </w:r>
      <w:r>
        <w:rPr>
          <w:i/>
        </w:rPr>
        <w:t>Promover un crecemento económico sostido, inclusivo e sostible, un emprego pleno e produtivo e un traballo decente para todos</w:t>
      </w:r>
      <w:r>
        <w:t>”, e 9 “</w:t>
      </w:r>
      <w:r>
        <w:rPr>
          <w:i/>
        </w:rPr>
        <w:t>Construír infraestruturas resilientes, promover a industrialización sostible e fomentar a innovación</w:t>
      </w:r>
      <w:r>
        <w:t xml:space="preserve">”. A economía social é un actor </w:t>
      </w:r>
      <w:r>
        <w:lastRenderedPageBreak/>
        <w:t>clave para a consecución dos ODS, xa que proporciona respostas innovadoras ás necesidades complexas e crecentes da poboación.</w:t>
      </w:r>
    </w:p>
    <w:p w:rsidR="000A65E2" w:rsidRDefault="000A65E2" w:rsidP="000A65E2">
      <w:pPr>
        <w:jc w:val="both"/>
      </w:pPr>
      <w:r>
        <w:tab/>
        <w:t xml:space="preserve">A relevancia da economía social, como axente fundamental da axenda política europea e internacional, recóllena as diferentes recomendacións da </w:t>
      </w:r>
      <w:r>
        <w:rPr>
          <w:b/>
        </w:rPr>
        <w:t>Declaración de Luxemburgo</w:t>
      </w:r>
      <w:r>
        <w:t xml:space="preserve">, “Folla de ruta cara un ecosistema máis completo para as empresas de economía social”, de 4 de decembro de 2015; da </w:t>
      </w:r>
      <w:r>
        <w:rPr>
          <w:b/>
        </w:rPr>
        <w:t>Declaración de Bratislava</w:t>
      </w:r>
      <w:r>
        <w:t xml:space="preserve">, “A economía social como actor chave para dar respostas eficaces aos actuais retos sociais na UE e no mundo”, de 1 de decembro de 2016; da </w:t>
      </w:r>
      <w:r>
        <w:rPr>
          <w:b/>
        </w:rPr>
        <w:t>Declaración de Luibliana</w:t>
      </w:r>
      <w:r>
        <w:t xml:space="preserve">, “Expansión das empresas de economía social na economía social e solidaria: cara unha cooperación máis sólida e estruturada entre a UE e o Sudeste de Europa”, de 25 de abril de 2017; da </w:t>
      </w:r>
      <w:r>
        <w:rPr>
          <w:b/>
        </w:rPr>
        <w:t>Declaración de Madrid</w:t>
      </w:r>
      <w:r>
        <w:t xml:space="preserve">, “A economía social, un modelo empresarial para o futuro da UE”; de 23 de maio de 2017; do </w:t>
      </w:r>
      <w:r>
        <w:rPr>
          <w:b/>
        </w:rPr>
        <w:t>Manifesto “Pacto polo Impacto” de París</w:t>
      </w:r>
      <w:r>
        <w:t xml:space="preserve">, de 11 de xullo de 2019; da </w:t>
      </w:r>
      <w:r>
        <w:rPr>
          <w:b/>
        </w:rPr>
        <w:t>Declaración de Toledo</w:t>
      </w:r>
      <w:r>
        <w:t xml:space="preserve">, “A economía social e solidaria como motor clave para un futuro inclusivo e sostible, de 4 de decembro de 2020; da </w:t>
      </w:r>
      <w:r>
        <w:rPr>
          <w:b/>
        </w:rPr>
        <w:t>Declaración de Mannheim</w:t>
      </w:r>
      <w:r>
        <w:t xml:space="preserve"> do “Cumio europeo de Economía Social 2021” ao Plan de Acción Europeo para a Economía Social, de 27 de maio de 2021 e da </w:t>
      </w:r>
      <w:r>
        <w:rPr>
          <w:b/>
        </w:rPr>
        <w:t>Declaración de Cascais</w:t>
      </w:r>
      <w:r>
        <w:t>, “Por un Plan Europeo para a Economía Social que promova o papel da economía Social no Pilar Europeo de Dereitos Sociais”.</w:t>
      </w:r>
    </w:p>
    <w:p w:rsidR="000A65E2" w:rsidRDefault="000A65E2" w:rsidP="000A65E2">
      <w:pPr>
        <w:jc w:val="both"/>
      </w:pPr>
      <w:r>
        <w:tab/>
        <w:t>En Galicia hai unha tradición asentada de traballo no recoñecemento e a promoción da economía social. Neste eido, salienta a aprobación da Lei de Economía Social de Galicia</w:t>
      </w:r>
      <w:r>
        <w:rPr>
          <w:rStyle w:val="Caracteresdenotaalpie"/>
        </w:rPr>
        <w:footnoteReference w:id="4"/>
      </w:r>
      <w:r>
        <w:t>, así como a definición da política pública de promoción da economía social recollida na Estratexia Galega de Economía Social 2019</w:t>
      </w:r>
      <w:r>
        <w:rPr>
          <w:rStyle w:val="Caracteresdenotaalpie"/>
        </w:rPr>
        <w:footnoteReference w:id="5"/>
      </w:r>
      <w:r>
        <w:t xml:space="preserve"> e na propia Rede Eusumo</w:t>
      </w:r>
      <w:r>
        <w:rPr>
          <w:rStyle w:val="Caracteresdenotaalpie"/>
        </w:rPr>
        <w:footnoteReference w:id="6"/>
      </w:r>
      <w:r>
        <w:t>. Neste mesmo sentido, é fundamental dispoñer e cultivar un contexto no que se fomente a interlocución, o dialogo e a deliberación dos axentes implicados e, para elo, tanto o Consello Galego de Economía Social como as entidades asociativas e organizacións representativas da economía social, están a ser unha peza esencial.</w:t>
      </w:r>
    </w:p>
    <w:p w:rsidR="000A65E2" w:rsidRDefault="000A65E2" w:rsidP="000A65E2">
      <w:pPr>
        <w:jc w:val="both"/>
      </w:pPr>
      <w:r>
        <w:tab/>
        <w:t xml:space="preserve">Por todo, e valorando o crecente recoñecemento da importancia da economía social na nosa sociedade, así como a contribución da economía social á creación de emprego, á innovación e cohesión social; o Consello Económico e Social de Galicia </w:t>
      </w:r>
    </w:p>
    <w:p w:rsidR="000A65E2" w:rsidRDefault="0049483A" w:rsidP="000A65E2">
      <w:pPr>
        <w:jc w:val="both"/>
      </w:pPr>
      <w:r>
        <w:t>DECLARA</w:t>
      </w:r>
      <w:bookmarkStart w:id="0" w:name="_GoBack"/>
      <w:bookmarkEnd w:id="0"/>
      <w:r w:rsidR="000A65E2">
        <w:t>:</w:t>
      </w:r>
    </w:p>
    <w:p w:rsidR="000A65E2" w:rsidRDefault="000A65E2" w:rsidP="000A65E2">
      <w:pPr>
        <w:pStyle w:val="Prrafodelista"/>
        <w:numPr>
          <w:ilvl w:val="0"/>
          <w:numId w:val="1"/>
        </w:numPr>
        <w:jc w:val="both"/>
      </w:pPr>
      <w:r>
        <w:t xml:space="preserve">Que debería </w:t>
      </w:r>
      <w:r w:rsidRPr="00066108">
        <w:t>afondarse no recoñecemento e aposta</w:t>
      </w:r>
      <w:r>
        <w:rPr>
          <w:color w:val="FF0000"/>
        </w:rPr>
        <w:t xml:space="preserve"> </w:t>
      </w:r>
      <w:r>
        <w:t>clara pola Economía social a través do apoio activo dos diferentes niveis de gobernanza (autonómica e local), así como por parte das institucións públicas, reforzando a visibilidade e competitividade das empresas da economía social mediante políticas públicas e outras iniciativas.</w:t>
      </w:r>
    </w:p>
    <w:p w:rsidR="000A65E2" w:rsidRDefault="000A65E2" w:rsidP="000A65E2">
      <w:pPr>
        <w:pStyle w:val="Prrafodelista"/>
        <w:ind w:left="360"/>
        <w:jc w:val="both"/>
      </w:pPr>
    </w:p>
    <w:p w:rsidR="000A65E2" w:rsidRDefault="000A65E2" w:rsidP="000A65E2">
      <w:pPr>
        <w:pStyle w:val="Prrafodelista"/>
        <w:numPr>
          <w:ilvl w:val="0"/>
          <w:numId w:val="1"/>
        </w:numPr>
        <w:jc w:val="both"/>
      </w:pPr>
      <w:r>
        <w:t>Que se ten que aumentar a visibilidade e recoñecemento da economía social a través de políticas públicas, plans e accións concretas en colaboración coas persoas e entidades que a compoñen. Neste sentido, a preparación da formulación destas políticas públicas debería levarse a cabo en cooperación coas axentes da economía social buscando a transversalidade para mellorar a coherencia das políticas e obter unha maior eficacia.</w:t>
      </w:r>
    </w:p>
    <w:p w:rsidR="000A65E2" w:rsidRDefault="000A65E2" w:rsidP="000A65E2">
      <w:pPr>
        <w:pStyle w:val="Prrafodelista"/>
        <w:ind w:left="360"/>
        <w:jc w:val="both"/>
      </w:pPr>
    </w:p>
    <w:p w:rsidR="000A65E2" w:rsidRDefault="000A65E2" w:rsidP="000A65E2">
      <w:pPr>
        <w:pStyle w:val="Prrafodelista"/>
        <w:numPr>
          <w:ilvl w:val="0"/>
          <w:numId w:val="1"/>
        </w:numPr>
        <w:jc w:val="both"/>
      </w:pPr>
      <w:r>
        <w:t>Que é necesario mellorar o nivel de coñecemento e relevancia pública dos datos e estatísticas sobre as empresas e entidades de economía social que permitan coñecer as características da economía social así como medir o impacto social xerado por ela, promovendo a cooperación entre o mundo académico, os centros de investigación, os institutos de estatística e as entidades e empresas da economía social.</w:t>
      </w:r>
    </w:p>
    <w:p w:rsidR="000A65E2" w:rsidRDefault="000A65E2" w:rsidP="000A65E2">
      <w:pPr>
        <w:pStyle w:val="Prrafodelista"/>
        <w:ind w:left="360"/>
        <w:jc w:val="both"/>
      </w:pPr>
    </w:p>
    <w:p w:rsidR="000A65E2" w:rsidRDefault="000A65E2" w:rsidP="000A65E2">
      <w:pPr>
        <w:pStyle w:val="Prrafodelista"/>
        <w:numPr>
          <w:ilvl w:val="0"/>
          <w:numId w:val="1"/>
        </w:numPr>
        <w:jc w:val="both"/>
      </w:pPr>
      <w:r>
        <w:t>Que é preciso aproveitar ó máximo á normativa e os procedementos que fomentan obxectivos de política social como pode ser a contratación pública socialmente responsable. As administracións públicas deberían intensificar e mellorar a súa utilización, promovéndoa a través da formación e o intercambio das mellores prácticas.</w:t>
      </w:r>
    </w:p>
    <w:p w:rsidR="000A65E2" w:rsidRDefault="000A65E2" w:rsidP="000A65E2">
      <w:pPr>
        <w:pStyle w:val="Prrafodelista"/>
        <w:ind w:left="360"/>
        <w:jc w:val="both"/>
      </w:pPr>
    </w:p>
    <w:p w:rsidR="000A65E2" w:rsidRDefault="000A65E2" w:rsidP="000A65E2">
      <w:pPr>
        <w:pStyle w:val="Prrafodelista"/>
        <w:numPr>
          <w:ilvl w:val="0"/>
          <w:numId w:val="1"/>
        </w:numPr>
        <w:jc w:val="both"/>
      </w:pPr>
      <w:r w:rsidRPr="00066108">
        <w:t>Que se debe fomentar a presenza da Economía Social en tódolos sectores e no eido da educación tanto nos procesos formativos como de capacitación profesional</w:t>
      </w:r>
      <w:r>
        <w:t>. Os modelos e principios da economía social, como a autorresponsabilidade, a democracia e a igualdade, son aspectos que deben estar presentes nos diferentes niveis educativos, co obxectivo de desenvolver competencias e reforzar habilidades.</w:t>
      </w:r>
    </w:p>
    <w:p w:rsidR="000A65E2" w:rsidRDefault="000A65E2" w:rsidP="000A65E2">
      <w:pPr>
        <w:pStyle w:val="Prrafodelista"/>
        <w:ind w:left="360"/>
        <w:jc w:val="both"/>
      </w:pPr>
    </w:p>
    <w:p w:rsidR="000A65E2" w:rsidRDefault="000A65E2" w:rsidP="000A65E2">
      <w:pPr>
        <w:pStyle w:val="Prrafodelista"/>
        <w:numPr>
          <w:ilvl w:val="0"/>
          <w:numId w:val="1"/>
        </w:numPr>
        <w:jc w:val="both"/>
      </w:pPr>
      <w:r>
        <w:t>Que se deben impulsar e promover as reunións periódicas dos representantes gobernamentais, políticos e sociais responsables do ámbito da Economía Social, xerando mecanismos de cooperación e diálogo que permitan coordinar as accións de apoio á economía social a través de políticas públicas innovadoras.</w:t>
      </w:r>
    </w:p>
    <w:p w:rsidR="000A65E2" w:rsidRDefault="000A65E2" w:rsidP="000A65E2">
      <w:pPr>
        <w:pStyle w:val="Prrafodelista"/>
        <w:ind w:left="360"/>
        <w:jc w:val="both"/>
      </w:pPr>
    </w:p>
    <w:p w:rsidR="000A65E2" w:rsidRDefault="000A65E2" w:rsidP="000A65E2">
      <w:pPr>
        <w:pStyle w:val="Prrafodelista"/>
        <w:numPr>
          <w:ilvl w:val="0"/>
          <w:numId w:val="1"/>
        </w:numPr>
        <w:jc w:val="both"/>
      </w:pPr>
      <w:r>
        <w:t>Que é necesario reforzar as redes de actores, públicos, privados e sociais, da economía social para fomentar o crecemento económico e as políticas de inclusión social nos territorios. Na formulación de políticas públicas é importante que as partes interesadas, de todos os niveis de gobernanza, participen e sexan escoitados.</w:t>
      </w:r>
    </w:p>
    <w:p w:rsidR="000A65E2" w:rsidRDefault="000A65E2" w:rsidP="000A65E2">
      <w:pPr>
        <w:pStyle w:val="Prrafodelista"/>
        <w:jc w:val="both"/>
      </w:pPr>
    </w:p>
    <w:p w:rsidR="000A65E2" w:rsidRDefault="000A65E2" w:rsidP="000A65E2">
      <w:pPr>
        <w:pStyle w:val="Prrafodelista"/>
        <w:ind w:left="2694"/>
        <w:jc w:val="both"/>
      </w:pPr>
    </w:p>
    <w:p w:rsidR="000A65E2" w:rsidRDefault="000A65E2" w:rsidP="000A65E2">
      <w:pPr>
        <w:pStyle w:val="Prrafodelista"/>
        <w:ind w:left="2694"/>
        <w:jc w:val="both"/>
      </w:pPr>
      <w:r>
        <w:t>Aprobado polo Pleno do Consello Económico e Social de Galicia en Santiago de Compostela, o 8 de novembro de 2021</w:t>
      </w:r>
    </w:p>
    <w:p w:rsidR="000A65E2" w:rsidRDefault="000A65E2" w:rsidP="000A65E2">
      <w:pPr>
        <w:pStyle w:val="Prrafodelista"/>
        <w:ind w:left="0"/>
        <w:jc w:val="both"/>
        <w:rPr>
          <w:sz w:val="26"/>
          <w:szCs w:val="26"/>
        </w:rPr>
      </w:pPr>
    </w:p>
    <w:p w:rsidR="00632ED7" w:rsidRDefault="00632ED7"/>
    <w:sectPr w:rsidR="00632ED7" w:rsidSect="000A65E2">
      <w:headerReference w:type="default" r:id="rId8"/>
      <w:footerReference w:type="even" r:id="rId9"/>
      <w:footerReference w:type="default" r:id="rId10"/>
      <w:pgSz w:w="11906" w:h="16838"/>
      <w:pgMar w:top="2269" w:right="1701" w:bottom="1417" w:left="1701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E2" w:rsidRDefault="000A65E2" w:rsidP="000A65E2">
      <w:pPr>
        <w:spacing w:after="0" w:line="240" w:lineRule="auto"/>
      </w:pPr>
      <w:r>
        <w:separator/>
      </w:r>
    </w:p>
  </w:endnote>
  <w:endnote w:type="continuationSeparator" w:id="0">
    <w:p w:rsidR="000A65E2" w:rsidRDefault="000A65E2" w:rsidP="000A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E2" w:rsidRDefault="000A65E2" w:rsidP="000A65E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A65E2" w:rsidRDefault="000A65E2" w:rsidP="000A65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E2" w:rsidRDefault="000A65E2" w:rsidP="000A65E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483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A65E2" w:rsidRDefault="000A65E2" w:rsidP="000A65E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E2" w:rsidRDefault="000A65E2" w:rsidP="000A65E2">
      <w:pPr>
        <w:spacing w:after="0" w:line="240" w:lineRule="auto"/>
      </w:pPr>
      <w:r>
        <w:separator/>
      </w:r>
    </w:p>
  </w:footnote>
  <w:footnote w:type="continuationSeparator" w:id="0">
    <w:p w:rsidR="000A65E2" w:rsidRDefault="000A65E2" w:rsidP="000A65E2">
      <w:pPr>
        <w:spacing w:after="0" w:line="240" w:lineRule="auto"/>
      </w:pPr>
      <w:r>
        <w:continuationSeparator/>
      </w:r>
    </w:p>
  </w:footnote>
  <w:footnote w:id="1">
    <w:p w:rsidR="000A65E2" w:rsidRDefault="000A65E2" w:rsidP="000A65E2">
      <w:pPr>
        <w:pStyle w:val="Textonotapie"/>
        <w:jc w:val="both"/>
      </w:pPr>
      <w:r>
        <w:rPr>
          <w:rStyle w:val="Caracteresdenotaalpie"/>
          <w:rFonts w:ascii="Liberation Serif" w:hAnsi="Liberation Serif"/>
        </w:rPr>
        <w:footnoteRef/>
      </w:r>
      <w:r>
        <w:rPr>
          <w:sz w:val="18"/>
          <w:szCs w:val="18"/>
        </w:rPr>
        <w:t xml:space="preserve"> Datos referentes á economía social en Europa segundo o Dictamen do Comité Económico e Social Europeo INT/925.</w:t>
      </w:r>
    </w:p>
  </w:footnote>
  <w:footnote w:id="2">
    <w:p w:rsidR="000A65E2" w:rsidRDefault="000A65E2" w:rsidP="000A65E2">
      <w:pPr>
        <w:pStyle w:val="Textonotapie"/>
        <w:jc w:val="both"/>
      </w:pPr>
      <w:r>
        <w:rPr>
          <w:rStyle w:val="Caracteresdenotaalpie"/>
          <w:rFonts w:ascii="Liberation Serif" w:hAnsi="Liberation Serif"/>
        </w:rPr>
        <w:footnoteRef/>
      </w:r>
      <w:r>
        <w:rPr>
          <w:sz w:val="18"/>
          <w:szCs w:val="18"/>
        </w:rPr>
        <w:t xml:space="preserve"> Datos referentes á economía social en España segundo a información da web de CEPES </w:t>
      </w:r>
      <w:hyperlink r:id="rId1" w:history="1">
        <w:r>
          <w:rPr>
            <w:rStyle w:val="Hipervnculo"/>
            <w:sz w:val="18"/>
            <w:szCs w:val="18"/>
          </w:rPr>
          <w:t>https://www.cepes.es/cifras</w:t>
        </w:r>
      </w:hyperlink>
      <w:r>
        <w:rPr>
          <w:sz w:val="18"/>
          <w:szCs w:val="18"/>
        </w:rPr>
        <w:t xml:space="preserve"> </w:t>
      </w:r>
    </w:p>
  </w:footnote>
  <w:footnote w:id="3">
    <w:p w:rsidR="000A65E2" w:rsidRDefault="000A65E2" w:rsidP="000A65E2">
      <w:pPr>
        <w:pStyle w:val="Textonotapie"/>
        <w:jc w:val="both"/>
      </w:pPr>
      <w:r>
        <w:rPr>
          <w:rStyle w:val="Caracteresdenotaalpie"/>
          <w:rFonts w:ascii="Liberation Serif" w:hAnsi="Liberation Serif"/>
        </w:rPr>
        <w:footnoteRef/>
      </w:r>
      <w:r>
        <w:rPr>
          <w:sz w:val="18"/>
          <w:szCs w:val="18"/>
        </w:rPr>
        <w:t xml:space="preserve"> Datos referentes á economía social en Galicia segundo o documento de “Economía Social. Propostas de mellora e reforzo dirixidas aos Partidos Políticos”, Xuño 2020, do Foro pola Economía Social Galega e o  “Informe sobre a economía social en Galicia 2019” do Centro de Estudios Cooperativos da Universidade de Santiago de Compostela</w:t>
      </w:r>
    </w:p>
  </w:footnote>
  <w:footnote w:id="4">
    <w:p w:rsidR="000A65E2" w:rsidRDefault="000A65E2" w:rsidP="000A65E2">
      <w:pPr>
        <w:pStyle w:val="Textonotapie"/>
        <w:jc w:val="both"/>
      </w:pPr>
      <w:r>
        <w:rPr>
          <w:rStyle w:val="Caracteresdenotaalpie"/>
          <w:rFonts w:ascii="Liberation Serif" w:hAnsi="Liberation Serif"/>
        </w:rPr>
        <w:footnoteRef/>
      </w:r>
      <w:r>
        <w:rPr>
          <w:sz w:val="18"/>
          <w:szCs w:val="18"/>
        </w:rPr>
        <w:t xml:space="preserve"> Lei 6/2016, de 4 de maio, de Economía Social de Galicia.</w:t>
      </w:r>
    </w:p>
  </w:footnote>
  <w:footnote w:id="5">
    <w:p w:rsidR="000A65E2" w:rsidRDefault="000A65E2" w:rsidP="000A65E2">
      <w:pPr>
        <w:pStyle w:val="Textonotapie"/>
      </w:pPr>
      <w:r>
        <w:rPr>
          <w:rStyle w:val="Caracteresdenotaalpie"/>
          <w:rFonts w:ascii="Liberation Serif" w:hAnsi="Liberation Serif"/>
        </w:rPr>
        <w:footnoteRef/>
      </w:r>
      <w:r>
        <w:t xml:space="preserve">  http://www.eusumo.gal/xunta-pon-en-marcha-primeira-estratexia-galega-de-economia-social</w:t>
      </w:r>
    </w:p>
  </w:footnote>
  <w:footnote w:id="6">
    <w:p w:rsidR="000A65E2" w:rsidRDefault="000A65E2" w:rsidP="000A65E2">
      <w:pPr>
        <w:pStyle w:val="Textonotapie"/>
        <w:jc w:val="both"/>
      </w:pPr>
      <w:r>
        <w:rPr>
          <w:rStyle w:val="Caracteresdenotaalpie"/>
          <w:rFonts w:ascii="Liberation Serif" w:hAnsi="Liberation Serif"/>
        </w:rPr>
        <w:footnoteRef/>
      </w:r>
      <w:r>
        <w:rPr>
          <w:sz w:val="18"/>
          <w:szCs w:val="18"/>
        </w:rPr>
        <w:t xml:space="preserve"> Creada a través do Decreto 225/2012, do 15 de novembro, polo que se crea a Rede Eusumo para o fomento do cooperativismo e a economía social e se regula o seu funcinamento.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E2" w:rsidRPr="000A65E2" w:rsidRDefault="000A65E2" w:rsidP="000A65E2">
    <w:pPr>
      <w:pStyle w:val="Encabezado"/>
    </w:pPr>
    <w:r>
      <w:rPr>
        <w:noProof/>
        <w:lang w:val="es-ES" w:eastAsia="es-ES"/>
      </w:rPr>
      <w:drawing>
        <wp:inline distT="0" distB="0" distL="0" distR="0" wp14:anchorId="67D4B465" wp14:editId="66197B0E">
          <wp:extent cx="1374373" cy="593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373" cy="59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E2"/>
    <w:rsid w:val="000A65E2"/>
    <w:rsid w:val="0049483A"/>
    <w:rsid w:val="00632ED7"/>
    <w:rsid w:val="00E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D2DD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5E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acteresdenotaalpie">
    <w:name w:val="Caracteres de nota al pie"/>
    <w:rsid w:val="000A65E2"/>
    <w:rPr>
      <w:vertAlign w:val="superscript"/>
    </w:rPr>
  </w:style>
  <w:style w:type="character" w:styleId="Hipervnculo">
    <w:name w:val="Hyperlink"/>
    <w:rsid w:val="000A65E2"/>
    <w:rPr>
      <w:color w:val="0000FF"/>
      <w:u w:val="single"/>
    </w:rPr>
  </w:style>
  <w:style w:type="paragraph" w:styleId="Prrafodelista">
    <w:name w:val="List Paragraph"/>
    <w:basedOn w:val="Normal"/>
    <w:qFormat/>
    <w:rsid w:val="000A65E2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0A65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A65E2"/>
    <w:rPr>
      <w:rFonts w:ascii="Calibri" w:eastAsia="Calibri" w:hAnsi="Calibri" w:cs="Calibri"/>
      <w:sz w:val="20"/>
      <w:szCs w:val="20"/>
      <w:lang w:val="gl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A65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5E2"/>
    <w:rPr>
      <w:rFonts w:ascii="Calibri" w:eastAsia="Calibri" w:hAnsi="Calibri" w:cs="Calibri"/>
      <w:sz w:val="22"/>
      <w:szCs w:val="22"/>
      <w:lang w:val="gl-ES" w:eastAsia="zh-CN"/>
    </w:rPr>
  </w:style>
  <w:style w:type="character" w:styleId="Nmerodepgina">
    <w:name w:val="page number"/>
    <w:uiPriority w:val="99"/>
    <w:semiHidden/>
    <w:unhideWhenUsed/>
    <w:rsid w:val="000A65E2"/>
  </w:style>
  <w:style w:type="paragraph" w:styleId="Encabezado">
    <w:name w:val="header"/>
    <w:basedOn w:val="Normal"/>
    <w:link w:val="EncabezadoCar"/>
    <w:uiPriority w:val="99"/>
    <w:unhideWhenUsed/>
    <w:rsid w:val="000A6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5E2"/>
    <w:rPr>
      <w:rFonts w:ascii="Calibri" w:eastAsia="Calibri" w:hAnsi="Calibri" w:cs="Calibri"/>
      <w:sz w:val="22"/>
      <w:szCs w:val="22"/>
      <w:lang w:val="gl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65E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5E2"/>
    <w:rPr>
      <w:rFonts w:ascii="Lucida Grande" w:eastAsia="Calibri" w:hAnsi="Lucida Grande" w:cs="Lucida Grande"/>
      <w:sz w:val="18"/>
      <w:szCs w:val="18"/>
      <w:lang w:val="gl-E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5E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acteresdenotaalpie">
    <w:name w:val="Caracteres de nota al pie"/>
    <w:rsid w:val="000A65E2"/>
    <w:rPr>
      <w:vertAlign w:val="superscript"/>
    </w:rPr>
  </w:style>
  <w:style w:type="character" w:styleId="Hipervnculo">
    <w:name w:val="Hyperlink"/>
    <w:rsid w:val="000A65E2"/>
    <w:rPr>
      <w:color w:val="0000FF"/>
      <w:u w:val="single"/>
    </w:rPr>
  </w:style>
  <w:style w:type="paragraph" w:styleId="Prrafodelista">
    <w:name w:val="List Paragraph"/>
    <w:basedOn w:val="Normal"/>
    <w:qFormat/>
    <w:rsid w:val="000A65E2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0A65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A65E2"/>
    <w:rPr>
      <w:rFonts w:ascii="Calibri" w:eastAsia="Calibri" w:hAnsi="Calibri" w:cs="Calibri"/>
      <w:sz w:val="20"/>
      <w:szCs w:val="20"/>
      <w:lang w:val="gl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A65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5E2"/>
    <w:rPr>
      <w:rFonts w:ascii="Calibri" w:eastAsia="Calibri" w:hAnsi="Calibri" w:cs="Calibri"/>
      <w:sz w:val="22"/>
      <w:szCs w:val="22"/>
      <w:lang w:val="gl-ES" w:eastAsia="zh-CN"/>
    </w:rPr>
  </w:style>
  <w:style w:type="character" w:styleId="Nmerodepgina">
    <w:name w:val="page number"/>
    <w:uiPriority w:val="99"/>
    <w:semiHidden/>
    <w:unhideWhenUsed/>
    <w:rsid w:val="000A65E2"/>
  </w:style>
  <w:style w:type="paragraph" w:styleId="Encabezado">
    <w:name w:val="header"/>
    <w:basedOn w:val="Normal"/>
    <w:link w:val="EncabezadoCar"/>
    <w:uiPriority w:val="99"/>
    <w:unhideWhenUsed/>
    <w:rsid w:val="000A6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5E2"/>
    <w:rPr>
      <w:rFonts w:ascii="Calibri" w:eastAsia="Calibri" w:hAnsi="Calibri" w:cs="Calibri"/>
      <w:sz w:val="22"/>
      <w:szCs w:val="22"/>
      <w:lang w:val="gl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65E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5E2"/>
    <w:rPr>
      <w:rFonts w:ascii="Lucida Grande" w:eastAsia="Calibri" w:hAnsi="Lucida Grande" w:cs="Lucida Grande"/>
      <w:sz w:val="18"/>
      <w:szCs w:val="18"/>
      <w:lang w:val="gl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pes.es/cifr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1123</Words>
  <Characters>6178</Characters>
  <Application>Microsoft Macintosh Word</Application>
  <DocSecurity>0</DocSecurity>
  <Lines>51</Lines>
  <Paragraphs>14</Paragraphs>
  <ScaleCrop>false</ScaleCrop>
  <Company>Consello Económico e Social de Galicia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Gómez</dc:creator>
  <cp:keywords/>
  <dc:description/>
  <cp:lastModifiedBy>Roberto Gómez</cp:lastModifiedBy>
  <cp:revision>1</cp:revision>
  <dcterms:created xsi:type="dcterms:W3CDTF">2021-11-08T11:44:00Z</dcterms:created>
  <dcterms:modified xsi:type="dcterms:W3CDTF">2021-11-08T12:26:00Z</dcterms:modified>
</cp:coreProperties>
</file>